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0" w:right="69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MR-vizsgálati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lelet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449" w:lineRule="auto"/>
        <w:ind w:left="258" w:right="2393"/>
        <w:jc w:val="left"/>
      </w:pPr>
      <w:r>
        <w:rPr/>
        <w:t>Páciens neve: </w:t>
      </w:r>
      <w:r>
        <w:rPr>
          <w:rFonts w:ascii="Times New Roman" w:hAnsi="Times New Roman"/>
        </w:rPr>
        <w:t>**********</w:t>
      </w:r>
      <w:r>
        <w:rPr>
          <w:rFonts w:ascii="Times New Roman" w:hAnsi="Times New Roman"/>
          <w:spacing w:val="1"/>
        </w:rPr>
        <w:t> </w:t>
      </w:r>
      <w:r>
        <w:rPr/>
        <w:t>CILLÉCSKE, DSH, kandúr; sz.: 2002</w:t>
      </w:r>
      <w:r>
        <w:rPr/>
        <w:t> Tulajdonos: </w:t>
      </w:r>
      <w:r>
        <w:rPr>
          <w:rFonts w:ascii="Times New Roman" w:hAnsi="Times New Roman"/>
        </w:rPr>
        <w:t>**************************************</w:t>
      </w:r>
      <w:r>
        <w:rPr>
          <w:rFonts w:ascii="Times New Roman" w:hAnsi="Times New Roman"/>
        </w:rPr>
        <w:t> </w:t>
      </w:r>
      <w:r>
        <w:rPr/>
        <w:t>Vizsgálat ideje: 2022. augusztus 9.</w:t>
      </w:r>
    </w:p>
    <w:p>
      <w:pPr>
        <w:pStyle w:val="BodyText"/>
        <w:spacing w:line="240" w:lineRule="auto" w:before="7"/>
        <w:ind w:left="25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Beküldő állatorvos: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**********************************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114" w:firstLine="141"/>
        <w:jc w:val="both"/>
      </w:pPr>
      <w:r>
        <w:rPr/>
        <w:t>A</w:t>
      </w:r>
      <w:r>
        <w:rPr>
          <w:spacing w:val="-13"/>
        </w:rPr>
        <w:t> </w:t>
      </w:r>
      <w:r>
        <w:rPr/>
        <w:t>teljes</w:t>
      </w:r>
      <w:r>
        <w:rPr>
          <w:spacing w:val="-13"/>
        </w:rPr>
        <w:t> </w:t>
      </w:r>
      <w:r>
        <w:rPr>
          <w:spacing w:val="-1"/>
        </w:rPr>
        <w:t>gerincoszlopról</w:t>
      </w:r>
      <w:r>
        <w:rPr>
          <w:spacing w:val="-12"/>
        </w:rPr>
        <w:t> </w:t>
      </w:r>
      <w:r>
        <w:rPr/>
        <w:t>és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myelonról</w:t>
      </w:r>
      <w:r>
        <w:rPr>
          <w:spacing w:val="-12"/>
        </w:rPr>
        <w:t> </w:t>
      </w:r>
      <w:r>
        <w:rPr>
          <w:spacing w:val="-1"/>
        </w:rPr>
        <w:t>sagittalis</w:t>
      </w:r>
      <w:r>
        <w:rPr>
          <w:spacing w:val="-12"/>
        </w:rPr>
        <w:t> </w:t>
      </w:r>
      <w:r>
        <w:rPr/>
        <w:t>T2</w:t>
      </w:r>
      <w:r>
        <w:rPr>
          <w:spacing w:val="-13"/>
        </w:rPr>
        <w:t> </w:t>
      </w:r>
      <w:r>
        <w:rPr>
          <w:spacing w:val="-1"/>
        </w:rPr>
        <w:t>FSE,</w:t>
      </w:r>
      <w:r>
        <w:rPr>
          <w:spacing w:val="-13"/>
        </w:rPr>
        <w:t> </w:t>
      </w:r>
      <w:r>
        <w:rPr>
          <w:spacing w:val="-1"/>
        </w:rPr>
        <w:t>sagittalis</w:t>
      </w:r>
      <w:r>
        <w:rPr>
          <w:spacing w:val="-12"/>
        </w:rPr>
        <w:t> </w:t>
      </w:r>
      <w:r>
        <w:rPr/>
        <w:t>T1</w:t>
      </w:r>
      <w:r>
        <w:rPr>
          <w:spacing w:val="-13"/>
        </w:rPr>
        <w:t> </w:t>
      </w:r>
      <w:r>
        <w:rPr>
          <w:spacing w:val="-1"/>
        </w:rPr>
        <w:t>FSE,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thoracolumbalis</w:t>
      </w:r>
      <w:r>
        <w:rPr>
          <w:spacing w:val="111"/>
        </w:rPr>
        <w:t> </w:t>
      </w:r>
      <w:r>
        <w:rPr>
          <w:spacing w:val="-1"/>
        </w:rPr>
        <w:t>szakaszról</w:t>
      </w:r>
      <w:r>
        <w:rPr>
          <w:spacing w:val="16"/>
        </w:rPr>
        <w:t> </w:t>
      </w:r>
      <w:r>
        <w:rPr>
          <w:spacing w:val="-1"/>
        </w:rPr>
        <w:t>dorsalis</w:t>
      </w:r>
      <w:r>
        <w:rPr>
          <w:spacing w:val="16"/>
        </w:rPr>
        <w:t> </w:t>
      </w:r>
      <w:r>
        <w:rPr/>
        <w:t>T2</w:t>
      </w:r>
      <w:r>
        <w:rPr>
          <w:spacing w:val="16"/>
        </w:rPr>
        <w:t> </w:t>
      </w:r>
      <w:r>
        <w:rPr/>
        <w:t>FSE,</w:t>
      </w:r>
      <w:r>
        <w:rPr>
          <w:spacing w:val="16"/>
        </w:rPr>
        <w:t> </w:t>
      </w:r>
      <w:r>
        <w:rPr>
          <w:spacing w:val="-1"/>
        </w:rPr>
        <w:t>az</w:t>
      </w:r>
      <w:r>
        <w:rPr>
          <w:spacing w:val="15"/>
        </w:rPr>
        <w:t> </w:t>
      </w:r>
      <w:r>
        <w:rPr>
          <w:spacing w:val="-1"/>
        </w:rPr>
        <w:t>elváltozást</w:t>
      </w:r>
      <w:r>
        <w:rPr>
          <w:spacing w:val="17"/>
        </w:rPr>
        <w:t> </w:t>
      </w:r>
      <w:r>
        <w:rPr>
          <w:spacing w:val="-1"/>
        </w:rPr>
        <w:t>mutató</w:t>
      </w:r>
      <w:r>
        <w:rPr>
          <w:spacing w:val="17"/>
        </w:rPr>
        <w:t> </w:t>
      </w:r>
      <w:r>
        <w:rPr>
          <w:spacing w:val="-1"/>
        </w:rPr>
        <w:t>szakaszokról</w:t>
      </w:r>
      <w:r>
        <w:rPr>
          <w:spacing w:val="16"/>
        </w:rPr>
        <w:t> </w:t>
      </w:r>
      <w:r>
        <w:rPr>
          <w:spacing w:val="-1"/>
        </w:rPr>
        <w:t>transversalis</w:t>
      </w:r>
      <w:r>
        <w:rPr>
          <w:spacing w:val="16"/>
        </w:rPr>
        <w:t> </w:t>
      </w:r>
      <w:r>
        <w:rPr/>
        <w:t>T2</w:t>
      </w:r>
      <w:r>
        <w:rPr>
          <w:spacing w:val="16"/>
        </w:rPr>
        <w:t> </w:t>
      </w:r>
      <w:r>
        <w:rPr/>
        <w:t>FSE,</w:t>
      </w:r>
      <w:r>
        <w:rPr>
          <w:spacing w:val="16"/>
        </w:rPr>
        <w:t> </w:t>
      </w:r>
      <w:r>
        <w:rPr>
          <w:spacing w:val="-1"/>
        </w:rPr>
        <w:t>pre-</w:t>
      </w:r>
      <w:r>
        <w:rPr>
          <w:spacing w:val="16"/>
        </w:rPr>
        <w:t> </w:t>
      </w:r>
      <w:r>
        <w:rPr>
          <w:spacing w:val="-1"/>
        </w:rPr>
        <w:t>és</w:t>
      </w:r>
      <w:r>
        <w:rPr>
          <w:spacing w:val="109"/>
        </w:rPr>
        <w:t> </w:t>
      </w:r>
      <w:r>
        <w:rPr>
          <w:spacing w:val="-1"/>
        </w:rPr>
        <w:t>postcontrast</w:t>
      </w:r>
      <w:r>
        <w:rPr>
          <w:spacing w:val="-9"/>
        </w:rPr>
        <w:t> </w:t>
      </w:r>
      <w:r>
        <w:rPr>
          <w:spacing w:val="-1"/>
        </w:rPr>
        <w:t>transversalis</w:t>
      </w:r>
      <w:r>
        <w:rPr>
          <w:spacing w:val="-10"/>
        </w:rPr>
        <w:t> </w:t>
      </w:r>
      <w:r>
        <w:rPr/>
        <w:t>T1</w:t>
      </w:r>
      <w:r>
        <w:rPr>
          <w:spacing w:val="-10"/>
        </w:rPr>
        <w:t> </w:t>
      </w:r>
      <w:r>
        <w:rPr>
          <w:spacing w:val="-1"/>
        </w:rPr>
        <w:t>FSE,</w:t>
      </w:r>
      <w:r>
        <w:rPr>
          <w:spacing w:val="-9"/>
        </w:rPr>
        <w:t> </w:t>
      </w:r>
      <w:r>
        <w:rPr>
          <w:spacing w:val="-1"/>
        </w:rPr>
        <w:t>sagittalis</w:t>
      </w:r>
      <w:r>
        <w:rPr>
          <w:spacing w:val="-9"/>
        </w:rPr>
        <w:t> </w:t>
      </w:r>
      <w:r>
        <w:rPr>
          <w:spacing w:val="-1"/>
        </w:rPr>
        <w:t>STIR,</w:t>
      </w:r>
      <w:r>
        <w:rPr>
          <w:spacing w:val="-9"/>
        </w:rPr>
        <w:t> </w:t>
      </w:r>
      <w:r>
        <w:rPr>
          <w:spacing w:val="-1"/>
        </w:rPr>
        <w:t>postcontrast</w:t>
      </w:r>
      <w:r>
        <w:rPr>
          <w:spacing w:val="-9"/>
        </w:rPr>
        <w:t> </w:t>
      </w:r>
      <w:r>
        <w:rPr>
          <w:spacing w:val="-1"/>
        </w:rPr>
        <w:t>sagittalis</w:t>
      </w:r>
      <w:r>
        <w:rPr>
          <w:spacing w:val="-9"/>
        </w:rPr>
        <w:t> </w:t>
      </w:r>
      <w:r>
        <w:rPr/>
        <w:t>T1</w:t>
      </w:r>
      <w:r>
        <w:rPr>
          <w:spacing w:val="-13"/>
        </w:rPr>
        <w:t> </w:t>
      </w:r>
      <w:r>
        <w:rPr>
          <w:spacing w:val="-1"/>
        </w:rPr>
        <w:t>FSE_fs</w:t>
      </w:r>
      <w:r>
        <w:rPr>
          <w:spacing w:val="-9"/>
        </w:rPr>
        <w:t> </w:t>
      </w:r>
      <w:r>
        <w:rPr>
          <w:spacing w:val="-1"/>
        </w:rPr>
        <w:t>szekvencia</w:t>
      </w:r>
      <w:r>
        <w:rPr>
          <w:spacing w:val="121"/>
        </w:rPr>
        <w:t> </w:t>
      </w:r>
      <w:r>
        <w:rPr>
          <w:spacing w:val="-1"/>
        </w:rPr>
        <w:t>készült.</w:t>
      </w:r>
      <w:r>
        <w:rPr/>
        <w:t> A </w:t>
      </w:r>
      <w:r>
        <w:rPr>
          <w:spacing w:val="-1"/>
        </w:rPr>
        <w:t>vizsgálat</w:t>
      </w:r>
      <w:r>
        <w:rPr/>
        <w:t> GE</w:t>
      </w:r>
      <w:r>
        <w:rPr>
          <w:spacing w:val="-1"/>
        </w:rPr>
        <w:t> </w:t>
      </w:r>
      <w:r>
        <w:rPr/>
        <w:t>1,5 T </w:t>
      </w:r>
      <w:r>
        <w:rPr>
          <w:spacing w:val="-1"/>
        </w:rPr>
        <w:t>berendezéssel</w:t>
      </w:r>
      <w:r>
        <w:rPr/>
        <w:t> készült.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 w:firstLine="141"/>
        <w:jc w:val="both"/>
      </w:pPr>
      <w:r>
        <w:rPr/>
        <w:t>Az</w:t>
      </w:r>
      <w:r>
        <w:rPr>
          <w:spacing w:val="10"/>
        </w:rPr>
        <w:t> </w:t>
      </w:r>
      <w:r>
        <w:rPr>
          <w:spacing w:val="-1"/>
        </w:rPr>
        <w:t>intervertebralis</w:t>
      </w:r>
      <w:r>
        <w:rPr>
          <w:spacing w:val="12"/>
        </w:rPr>
        <w:t> </w:t>
      </w:r>
      <w:r>
        <w:rPr>
          <w:spacing w:val="-1"/>
        </w:rPr>
        <w:t>porckorongok</w:t>
      </w:r>
      <w:r>
        <w:rPr>
          <w:spacing w:val="11"/>
        </w:rPr>
        <w:t> </w:t>
      </w:r>
      <w:r>
        <w:rPr/>
        <w:t>T2</w:t>
      </w:r>
      <w:r>
        <w:rPr>
          <w:spacing w:val="11"/>
        </w:rPr>
        <w:t> </w:t>
      </w:r>
      <w:r>
        <w:rPr>
          <w:spacing w:val="-1"/>
        </w:rPr>
        <w:t>súlyozott</w:t>
      </w:r>
      <w:r>
        <w:rPr>
          <w:spacing w:val="12"/>
        </w:rPr>
        <w:t> </w:t>
      </w:r>
      <w:r>
        <w:rPr>
          <w:spacing w:val="-1"/>
        </w:rPr>
        <w:t>szekvencián</w:t>
      </w:r>
      <w:r>
        <w:rPr>
          <w:spacing w:val="14"/>
        </w:rPr>
        <w:t> </w:t>
      </w:r>
      <w:r>
        <w:rPr/>
        <w:t>súlyos</w:t>
      </w:r>
      <w:r>
        <w:rPr>
          <w:spacing w:val="12"/>
        </w:rPr>
        <w:t> </w:t>
      </w:r>
      <w:r>
        <w:rPr>
          <w:spacing w:val="-1"/>
        </w:rPr>
        <w:t>mértékben</w:t>
      </w:r>
      <w:r>
        <w:rPr>
          <w:spacing w:val="11"/>
        </w:rPr>
        <w:t> </w:t>
      </w:r>
      <w:r>
        <w:rPr/>
        <w:t>csökkent</w:t>
      </w:r>
      <w:r>
        <w:rPr>
          <w:spacing w:val="89"/>
        </w:rPr>
        <w:t> </w:t>
      </w:r>
      <w:r>
        <w:rPr>
          <w:spacing w:val="-1"/>
        </w:rPr>
        <w:t>jelintenzitásúak;</w:t>
      </w:r>
      <w:r>
        <w:rPr/>
        <w:t> dehidráltak, </w:t>
      </w:r>
      <w:r>
        <w:rPr>
          <w:spacing w:val="-1"/>
        </w:rPr>
        <w:t>degeneráltak.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58" w:right="0"/>
        <w:jc w:val="left"/>
      </w:pPr>
      <w:r>
        <w:rPr/>
        <w:t>13 </w:t>
      </w:r>
      <w:r>
        <w:rPr>
          <w:spacing w:val="-1"/>
        </w:rPr>
        <w:t>bordapár</w:t>
      </w:r>
      <w:r>
        <w:rPr>
          <w:spacing w:val="1"/>
        </w:rPr>
        <w:t> </w:t>
      </w:r>
      <w:r>
        <w:rPr>
          <w:spacing w:val="-1"/>
        </w:rPr>
        <w:t>és</w:t>
      </w:r>
      <w:r>
        <w:rPr/>
        <w:t> 7 lumbalis </w:t>
      </w:r>
      <w:r>
        <w:rPr>
          <w:spacing w:val="-1"/>
        </w:rPr>
        <w:t>csigolya látható.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 w:firstLine="141"/>
        <w:jc w:val="both"/>
      </w:pPr>
      <w:r>
        <w:rPr>
          <w:spacing w:val="-1"/>
        </w:rPr>
        <w:t>C2-C5</w:t>
      </w:r>
      <w:r>
        <w:rPr>
          <w:spacing w:val="28"/>
        </w:rPr>
        <w:t> </w:t>
      </w:r>
      <w:r>
        <w:rPr>
          <w:spacing w:val="-1"/>
        </w:rPr>
        <w:t>intervertebralis</w:t>
      </w:r>
      <w:r>
        <w:rPr>
          <w:spacing w:val="28"/>
        </w:rPr>
        <w:t> </w:t>
      </w:r>
      <w:r>
        <w:rPr>
          <w:spacing w:val="-1"/>
        </w:rPr>
        <w:t>porckorongok</w:t>
      </w:r>
      <w:r>
        <w:rPr>
          <w:spacing w:val="30"/>
        </w:rPr>
        <w:t> </w:t>
      </w:r>
      <w:r>
        <w:rPr>
          <w:spacing w:val="-1"/>
        </w:rPr>
        <w:t>bedomborodása</w:t>
      </w:r>
      <w:r>
        <w:rPr>
          <w:spacing w:val="28"/>
        </w:rPr>
        <w:t> </w:t>
      </w:r>
      <w:r>
        <w:rPr>
          <w:spacing w:val="-1"/>
        </w:rPr>
        <w:t>látható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gerinccsatornába,</w:t>
      </w:r>
      <w:r>
        <w:rPr>
          <w:spacing w:val="28"/>
        </w:rPr>
        <w:t> </w:t>
      </w:r>
      <w:r>
        <w:rPr/>
        <w:t>liquortér-</w:t>
      </w:r>
      <w:r>
        <w:rPr>
          <w:spacing w:val="113"/>
        </w:rPr>
        <w:t> </w:t>
      </w:r>
      <w:r>
        <w:rPr>
          <w:spacing w:val="-1"/>
        </w:rPr>
        <w:t>kompressziót</w:t>
      </w:r>
      <w:r>
        <w:rPr/>
        <w:t> </w:t>
      </w:r>
      <w:r>
        <w:rPr>
          <w:spacing w:val="-1"/>
        </w:rPr>
        <w:t>okozva.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2" w:firstLine="141"/>
        <w:jc w:val="both"/>
        <w:rPr>
          <w:rFonts w:ascii="Times New Roman" w:hAnsi="Times New Roman" w:cs="Times New Roman" w:eastAsia="Times New Roman"/>
        </w:rPr>
      </w:pPr>
      <w:r>
        <w:rPr/>
        <w:t>Th8,</w:t>
      </w:r>
      <w:r>
        <w:rPr>
          <w:spacing w:val="18"/>
        </w:rPr>
        <w:t> </w:t>
      </w:r>
      <w:r>
        <w:rPr/>
        <w:t>Th9</w:t>
      </w:r>
      <w:r>
        <w:rPr>
          <w:spacing w:val="18"/>
        </w:rPr>
        <w:t> </w:t>
      </w:r>
      <w:r>
        <w:rPr>
          <w:spacing w:val="-1"/>
        </w:rPr>
        <w:t>csigolyák</w:t>
      </w:r>
      <w:r>
        <w:rPr>
          <w:spacing w:val="18"/>
        </w:rPr>
        <w:t> </w:t>
      </w:r>
      <w:r>
        <w:rPr>
          <w:spacing w:val="-1"/>
        </w:rPr>
        <w:t>síkjában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liquorterek</w:t>
      </w:r>
      <w:r>
        <w:rPr>
          <w:spacing w:val="18"/>
        </w:rPr>
        <w:t> </w:t>
      </w:r>
      <w:r>
        <w:rPr/>
        <w:t>alig</w:t>
      </w:r>
      <w:r>
        <w:rPr>
          <w:spacing w:val="18"/>
        </w:rPr>
        <w:t> </w:t>
      </w:r>
      <w:r>
        <w:rPr>
          <w:spacing w:val="-1"/>
        </w:rPr>
        <w:t>ábrázolódnak,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myelon</w:t>
      </w:r>
      <w:r>
        <w:rPr>
          <w:spacing w:val="19"/>
        </w:rPr>
        <w:t> </w:t>
      </w:r>
      <w:r>
        <w:rPr/>
        <w:t>T2</w:t>
      </w:r>
      <w:r>
        <w:rPr>
          <w:spacing w:val="18"/>
        </w:rPr>
        <w:t> </w:t>
      </w:r>
      <w:r>
        <w:rPr>
          <w:spacing w:val="-1"/>
        </w:rPr>
        <w:t>súlyozott</w:t>
      </w:r>
      <w:r>
        <w:rPr>
          <w:spacing w:val="89"/>
        </w:rPr>
        <w:t> </w:t>
      </w:r>
      <w:r>
        <w:rPr>
          <w:spacing w:val="-1"/>
        </w:rPr>
        <w:t>szekvencián</w:t>
      </w:r>
      <w:r>
        <w:rPr>
          <w:spacing w:val="23"/>
        </w:rPr>
        <w:t> </w:t>
      </w:r>
      <w:r>
        <w:rPr>
          <w:spacing w:val="-1"/>
        </w:rPr>
        <w:t>heterogén,</w:t>
      </w:r>
      <w:r>
        <w:rPr>
          <w:spacing w:val="25"/>
        </w:rPr>
        <w:t> </w:t>
      </w:r>
      <w:r>
        <w:rPr>
          <w:spacing w:val="-1"/>
        </w:rPr>
        <w:t>szerkezetnélküli,</w:t>
      </w:r>
      <w:r>
        <w:rPr>
          <w:spacing w:val="24"/>
        </w:rPr>
        <w:t> </w:t>
      </w:r>
      <w:r>
        <w:rPr/>
        <w:t>enyhén</w:t>
      </w:r>
      <w:r>
        <w:rPr>
          <w:spacing w:val="23"/>
        </w:rPr>
        <w:t> </w:t>
      </w:r>
      <w:r>
        <w:rPr>
          <w:spacing w:val="-1"/>
        </w:rPr>
        <w:t>fokozott</w:t>
      </w:r>
      <w:r>
        <w:rPr>
          <w:spacing w:val="24"/>
        </w:rPr>
        <w:t> </w:t>
      </w:r>
      <w:r>
        <w:rPr>
          <w:spacing w:val="-1"/>
        </w:rPr>
        <w:t>jelintenzitású.</w:t>
      </w:r>
      <w:r>
        <w:rPr>
          <w:spacing w:val="24"/>
        </w:rPr>
        <w:t> </w:t>
      </w:r>
      <w:r>
        <w:rPr/>
        <w:t>Th7-Th8</w:t>
      </w:r>
      <w:r>
        <w:rPr>
          <w:spacing w:val="109"/>
        </w:rPr>
        <w:t> </w:t>
      </w:r>
      <w:r>
        <w:rPr>
          <w:spacing w:val="-1"/>
        </w:rPr>
        <w:t>intervertebralis</w:t>
      </w:r>
      <w:r>
        <w:rPr>
          <w:spacing w:val="-3"/>
        </w:rPr>
        <w:t> </w:t>
      </w:r>
      <w:r>
        <w:rPr>
          <w:spacing w:val="-1"/>
        </w:rPr>
        <w:t>rés</w:t>
      </w:r>
      <w:r>
        <w:rPr>
          <w:spacing w:val="-3"/>
        </w:rPr>
        <w:t> </w:t>
      </w:r>
      <w:r>
        <w:rPr>
          <w:spacing w:val="-1"/>
        </w:rPr>
        <w:t>síkjától</w:t>
      </w:r>
      <w:r>
        <w:rPr>
          <w:spacing w:val="-2"/>
        </w:rPr>
        <w:t> </w:t>
      </w:r>
      <w:r>
        <w:rPr/>
        <w:t>Th10</w:t>
      </w:r>
      <w:r>
        <w:rPr>
          <w:spacing w:val="-3"/>
        </w:rPr>
        <w:t> </w:t>
      </w:r>
      <w:r>
        <w:rPr>
          <w:spacing w:val="-1"/>
        </w:rPr>
        <w:t>csigolya</w:t>
      </w:r>
      <w:r>
        <w:rPr>
          <w:spacing w:val="-4"/>
        </w:rPr>
        <w:t> </w:t>
      </w:r>
      <w:r>
        <w:rPr>
          <w:spacing w:val="-1"/>
        </w:rPr>
        <w:t>cranialis</w:t>
      </w:r>
      <w:r>
        <w:rPr>
          <w:spacing w:val="-2"/>
        </w:rPr>
        <w:t> </w:t>
      </w:r>
      <w:r>
        <w:rPr>
          <w:spacing w:val="-1"/>
        </w:rPr>
        <w:t>véglemezének</w:t>
      </w:r>
      <w:r>
        <w:rPr>
          <w:spacing w:val="-3"/>
        </w:rPr>
        <w:t> </w:t>
      </w:r>
      <w:r>
        <w:rPr>
          <w:spacing w:val="-1"/>
        </w:rPr>
        <w:t>síkjáig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gerinccsatorna </w:t>
      </w:r>
      <w:r>
        <w:rPr/>
        <w:t>jobb</w:t>
      </w:r>
      <w:r>
        <w:rPr>
          <w:spacing w:val="117"/>
        </w:rPr>
        <w:t> </w:t>
      </w:r>
      <w:r>
        <w:rPr>
          <w:spacing w:val="-1"/>
        </w:rPr>
        <w:t>ventrolateralis,</w:t>
      </w:r>
      <w:r>
        <w:rPr>
          <w:spacing w:val="7"/>
        </w:rPr>
        <w:t> </w:t>
      </w:r>
      <w:r>
        <w:rPr/>
        <w:t>jobb</w:t>
      </w:r>
      <w:r>
        <w:rPr>
          <w:spacing w:val="7"/>
        </w:rPr>
        <w:t> </w:t>
      </w:r>
      <w:r>
        <w:rPr>
          <w:spacing w:val="-1"/>
        </w:rPr>
        <w:t>lateralis</w:t>
      </w:r>
      <w:r>
        <w:rPr>
          <w:spacing w:val="7"/>
        </w:rPr>
        <w:t> </w:t>
      </w:r>
      <w:r>
        <w:rPr>
          <w:spacing w:val="-1"/>
        </w:rPr>
        <w:t>részébe,</w:t>
      </w:r>
      <w:r>
        <w:rPr>
          <w:spacing w:val="6"/>
        </w:rPr>
        <w:t> </w:t>
      </w:r>
      <w:r>
        <w:rPr/>
        <w:t>legnagyobb</w:t>
      </w:r>
      <w:r>
        <w:rPr>
          <w:spacing w:val="9"/>
        </w:rPr>
        <w:t> </w:t>
      </w:r>
      <w:r>
        <w:rPr>
          <w:spacing w:val="-1"/>
        </w:rPr>
        <w:t>kiterjedésében</w:t>
      </w:r>
      <w:r>
        <w:rPr>
          <w:spacing w:val="6"/>
        </w:rPr>
        <w:t> </w:t>
      </w:r>
      <w:r>
        <w:rPr/>
        <w:t>11</w:t>
      </w:r>
      <w:r>
        <w:rPr>
          <w:spacing w:val="9"/>
        </w:rPr>
        <w:t> </w:t>
      </w:r>
      <w:r>
        <w:rPr>
          <w:spacing w:val="-1"/>
        </w:rPr>
        <w:t>és</w:t>
      </w:r>
      <w:r>
        <w:rPr>
          <w:spacing w:val="7"/>
        </w:rPr>
        <w:t> </w:t>
      </w:r>
      <w:r>
        <w:rPr/>
        <w:t>6</w:t>
      </w:r>
      <w:r>
        <w:rPr>
          <w:spacing w:val="6"/>
        </w:rPr>
        <w:t> </w:t>
      </w:r>
      <w:r>
        <w:rPr/>
        <w:t>óra</w:t>
      </w:r>
      <w:r>
        <w:rPr>
          <w:spacing w:val="6"/>
        </w:rPr>
        <w:t> </w:t>
      </w:r>
      <w:r>
        <w:rPr>
          <w:spacing w:val="-1"/>
        </w:rPr>
        <w:t>közti</w:t>
      </w:r>
      <w:r>
        <w:rPr>
          <w:spacing w:val="7"/>
        </w:rPr>
        <w:t> </w:t>
      </w:r>
      <w:r>
        <w:rPr/>
        <w:t>régióban,</w:t>
      </w:r>
      <w:r>
        <w:rPr>
          <w:spacing w:val="9"/>
        </w:rPr>
        <w:t> </w:t>
      </w:r>
      <w:r>
        <w:rPr/>
        <w:t>a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gerincvelői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burkoktól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különíthető,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többé</w:t>
      </w:r>
      <w:r>
        <w:rPr>
          <w:spacing w:val="-1"/>
        </w:rPr>
        <w:t>-kevésbé</w:t>
      </w:r>
      <w:r>
        <w:rPr>
          <w:spacing w:val="39"/>
        </w:rPr>
        <w:t> </w:t>
      </w:r>
      <w:r>
        <w:rPr>
          <w:spacing w:val="-1"/>
        </w:rPr>
        <w:t>éles</w:t>
      </w:r>
      <w:r>
        <w:rPr>
          <w:spacing w:val="40"/>
        </w:rPr>
        <w:t> </w:t>
      </w:r>
      <w:r>
        <w:rPr/>
        <w:t>határú</w:t>
      </w:r>
      <w:r>
        <w:rPr>
          <w:spacing w:val="42"/>
        </w:rPr>
        <w:t> </w:t>
      </w:r>
      <w:r>
        <w:rPr>
          <w:spacing w:val="-1"/>
        </w:rPr>
        <w:t>térfoglaló</w:t>
      </w:r>
      <w:r>
        <w:rPr>
          <w:spacing w:val="40"/>
        </w:rPr>
        <w:t> </w:t>
      </w:r>
      <w:r>
        <w:rPr>
          <w:spacing w:val="-1"/>
        </w:rPr>
        <w:t>képlet</w:t>
      </w:r>
      <w:r>
        <w:rPr>
          <w:spacing w:val="95"/>
        </w:rPr>
        <w:t> </w:t>
      </w:r>
      <w:r>
        <w:rPr>
          <w:spacing w:val="-1"/>
        </w:rPr>
        <w:t>emelkedik</w:t>
      </w:r>
      <w:r>
        <w:rPr>
          <w:spacing w:val="-7"/>
        </w:rPr>
        <w:t> </w:t>
      </w:r>
      <w:r>
        <w:rPr>
          <w:spacing w:val="-1"/>
        </w:rPr>
        <w:t>be,</w:t>
      </w:r>
      <w:r>
        <w:rPr>
          <w:spacing w:val="-8"/>
        </w:rPr>
        <w:t> </w:t>
      </w:r>
      <w:r>
        <w:rPr/>
        <w:t>Th8</w:t>
      </w:r>
      <w:r>
        <w:rPr>
          <w:spacing w:val="-8"/>
        </w:rPr>
        <w:t> </w:t>
      </w:r>
      <w:r>
        <w:rPr/>
        <w:t>csigolya</w:t>
      </w:r>
      <w:r>
        <w:rPr>
          <w:spacing w:val="-9"/>
        </w:rPr>
        <w:t> </w:t>
      </w:r>
      <w:r>
        <w:rPr>
          <w:spacing w:val="-1"/>
        </w:rPr>
        <w:t>caudalis</w:t>
      </w:r>
      <w:r>
        <w:rPr>
          <w:spacing w:val="-7"/>
        </w:rPr>
        <w:t> </w:t>
      </w:r>
      <w:r>
        <w:rPr>
          <w:spacing w:val="-1"/>
        </w:rPr>
        <w:t>harmadának</w:t>
      </w:r>
      <w:r>
        <w:rPr>
          <w:spacing w:val="-8"/>
        </w:rPr>
        <w:t> </w:t>
      </w:r>
      <w:r>
        <w:rPr/>
        <w:t>síkjában</w:t>
      </w:r>
      <w:r>
        <w:rPr>
          <w:spacing w:val="-8"/>
        </w:rPr>
        <w:t> </w:t>
      </w:r>
      <w:r>
        <w:rPr/>
        <w:t>súlyos</w:t>
      </w:r>
      <w:r>
        <w:rPr>
          <w:spacing w:val="-7"/>
        </w:rPr>
        <w:t> </w:t>
      </w:r>
      <w:r>
        <w:rPr>
          <w:spacing w:val="-1"/>
        </w:rPr>
        <w:t>myelonkompressziót</w:t>
      </w:r>
      <w:r>
        <w:rPr>
          <w:spacing w:val="-7"/>
        </w:rPr>
        <w:t> </w:t>
      </w:r>
      <w:r>
        <w:rPr>
          <w:spacing w:val="-1"/>
        </w:rPr>
        <w:t>okozva.</w:t>
      </w:r>
      <w:r>
        <w:rPr>
          <w:spacing w:val="9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képlet</w:t>
      </w:r>
      <w:r>
        <w:rPr>
          <w:spacing w:val="-3"/>
        </w:rPr>
        <w:t> </w:t>
      </w:r>
      <w:r>
        <w:rPr/>
        <w:t>T2</w:t>
      </w:r>
      <w:r>
        <w:rPr>
          <w:spacing w:val="-3"/>
        </w:rPr>
        <w:t> </w:t>
      </w:r>
      <w:r>
        <w:rPr>
          <w:spacing w:val="-1"/>
        </w:rPr>
        <w:t>súlyozott</w:t>
      </w:r>
      <w:r>
        <w:rPr>
          <w:spacing w:val="-2"/>
        </w:rPr>
        <w:t> </w:t>
      </w:r>
      <w:r>
        <w:rPr>
          <w:spacing w:val="-1"/>
        </w:rPr>
        <w:t>szekvencián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myelonnál</w:t>
      </w:r>
      <w:r>
        <w:rPr>
          <w:spacing w:val="-3"/>
        </w:rPr>
        <w:t> </w:t>
      </w:r>
      <w:r>
        <w:rPr>
          <w:spacing w:val="-1"/>
        </w:rPr>
        <w:t>fokozottabb</w:t>
      </w:r>
      <w:r>
        <w:rPr>
          <w:spacing w:val="-3"/>
        </w:rPr>
        <w:t> </w:t>
      </w:r>
      <w:r>
        <w:rPr>
          <w:spacing w:val="-1"/>
        </w:rPr>
        <w:t>jelintenzitású,</w:t>
      </w:r>
      <w:r>
        <w:rPr>
          <w:spacing w:val="3"/>
        </w:rPr>
        <w:t> </w:t>
      </w:r>
      <w:r>
        <w:rPr/>
        <w:t>kissé</w:t>
      </w:r>
      <w:r>
        <w:rPr>
          <w:spacing w:val="-4"/>
        </w:rPr>
        <w:t> </w:t>
      </w:r>
      <w:r>
        <w:rPr>
          <w:spacing w:val="-1"/>
        </w:rPr>
        <w:t>heterogén,</w:t>
      </w:r>
      <w:r>
        <w:rPr>
          <w:spacing w:val="-2"/>
        </w:rPr>
        <w:t> </w:t>
      </w:r>
      <w:r>
        <w:rPr/>
        <w:t>T1</w:t>
      </w:r>
      <w:r>
        <w:rPr>
          <w:spacing w:val="103"/>
        </w:rPr>
        <w:t> </w:t>
      </w:r>
      <w:r>
        <w:rPr>
          <w:spacing w:val="-1"/>
        </w:rPr>
        <w:t>súlyozott</w:t>
      </w:r>
      <w:r>
        <w:rPr>
          <w:spacing w:val="10"/>
        </w:rPr>
        <w:t> </w:t>
      </w:r>
      <w:r>
        <w:rPr>
          <w:spacing w:val="-1"/>
        </w:rPr>
        <w:t>szekvencián</w:t>
      </w:r>
      <w:r>
        <w:rPr>
          <w:spacing w:val="8"/>
        </w:rPr>
        <w:t> </w:t>
      </w:r>
      <w:r>
        <w:rPr>
          <w:spacing w:val="-1"/>
        </w:rPr>
        <w:t>izointenz,</w:t>
      </w:r>
      <w:r>
        <w:rPr>
          <w:spacing w:val="9"/>
        </w:rPr>
        <w:t> </w:t>
      </w:r>
      <w:r>
        <w:rPr/>
        <w:t>kontrasztanyagot</w:t>
      </w:r>
      <w:r>
        <w:rPr>
          <w:spacing w:val="9"/>
        </w:rPr>
        <w:t> </w:t>
      </w:r>
      <w:r>
        <w:rPr/>
        <w:t>kifejezett</w:t>
      </w:r>
      <w:r>
        <w:rPr>
          <w:spacing w:val="10"/>
        </w:rPr>
        <w:t> </w:t>
      </w:r>
      <w:r>
        <w:rPr/>
        <w:t>mértékben,</w:t>
      </w:r>
      <w:r>
        <w:rPr>
          <w:spacing w:val="11"/>
        </w:rPr>
        <w:t> </w:t>
      </w:r>
      <w:r>
        <w:rPr/>
        <w:t>homogén</w:t>
      </w:r>
      <w:r>
        <w:rPr>
          <w:spacing w:val="8"/>
        </w:rPr>
        <w:t> </w:t>
      </w:r>
      <w:r>
        <w:rPr/>
        <w:t>módon</w:t>
      </w:r>
      <w:r>
        <w:rPr>
          <w:spacing w:val="56"/>
        </w:rPr>
        <w:t> </w:t>
      </w:r>
      <w:r>
        <w:rPr>
          <w:spacing w:val="-1"/>
        </w:rPr>
        <w:t>halmoz.</w:t>
      </w:r>
      <w:r>
        <w:rPr/>
        <w:t> A </w:t>
      </w:r>
      <w:r>
        <w:rPr>
          <w:spacing w:val="-1"/>
        </w:rPr>
        <w:t>komprimált</w:t>
      </w:r>
      <w:r>
        <w:rPr/>
        <w:t> </w:t>
      </w:r>
      <w:r>
        <w:rPr>
          <w:spacing w:val="-1"/>
        </w:rPr>
        <w:t>szakaszon</w:t>
      </w:r>
      <w:r>
        <w:rPr/>
        <w:t> a</w:t>
      </w:r>
      <w:r>
        <w:rPr>
          <w:spacing w:val="-1"/>
        </w:rPr>
        <w:t> </w:t>
      </w:r>
      <w:r>
        <w:rPr/>
        <w:t>myelon </w:t>
      </w:r>
      <w:r>
        <w:rPr>
          <w:spacing w:val="-1"/>
        </w:rPr>
        <w:t>enyhe,</w:t>
      </w:r>
      <w:r>
        <w:rPr>
          <w:spacing w:val="2"/>
        </w:rPr>
        <w:t> </w:t>
      </w:r>
      <w:r>
        <w:rPr/>
        <w:t>foltsze</w:t>
      </w:r>
      <w:r>
        <w:rPr>
          <w:rFonts w:ascii="Times New Roman" w:hAnsi="Times New Roman"/>
        </w:rPr>
        <w:t>rű </w:t>
      </w:r>
      <w:r>
        <w:rPr>
          <w:rFonts w:ascii="Times New Roman" w:hAnsi="Times New Roman"/>
          <w:spacing w:val="-1"/>
        </w:rPr>
        <w:t>kontraszthalmozást</w:t>
      </w:r>
      <w:r>
        <w:rPr>
          <w:rFonts w:ascii="Times New Roman" w:hAnsi="Times New Roman"/>
        </w:rPr>
        <w:t> mutat.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 w:firstLine="141"/>
        <w:jc w:val="both"/>
      </w:pPr>
      <w:r>
        <w:rPr/>
        <w:t>A</w:t>
      </w:r>
      <w:r>
        <w:rPr>
          <w:spacing w:val="33"/>
        </w:rPr>
        <w:t> </w:t>
      </w:r>
      <w:r>
        <w:rPr/>
        <w:t>jobb</w:t>
      </w:r>
      <w:r>
        <w:rPr>
          <w:spacing w:val="33"/>
        </w:rPr>
        <w:t> </w:t>
      </w:r>
      <w:r>
        <w:rPr/>
        <w:t>vese</w:t>
      </w:r>
      <w:r>
        <w:rPr>
          <w:spacing w:val="32"/>
        </w:rPr>
        <w:t> </w:t>
      </w:r>
      <w:r>
        <w:rPr>
          <w:rFonts w:ascii="Times New Roman" w:hAnsi="Times New Roman"/>
        </w:rPr>
        <w:t>jelentősen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megnagyobbodott,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többé</w:t>
      </w:r>
      <w:r>
        <w:rPr/>
        <w:t>-kevésbé</w:t>
      </w:r>
      <w:r>
        <w:rPr>
          <w:spacing w:val="34"/>
        </w:rPr>
        <w:t> </w:t>
      </w:r>
      <w:r>
        <w:rPr>
          <w:spacing w:val="-1"/>
        </w:rPr>
        <w:t>szabályos</w:t>
      </w:r>
      <w:r>
        <w:rPr>
          <w:spacing w:val="36"/>
        </w:rPr>
        <w:t> </w:t>
      </w:r>
      <w:r>
        <w:rPr/>
        <w:t>alakú,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vesemedence</w:t>
      </w:r>
      <w:r>
        <w:rPr>
          <w:spacing w:val="70"/>
        </w:rPr>
        <w:t> </w:t>
      </w:r>
      <w:r>
        <w:rPr>
          <w:spacing w:val="-1"/>
        </w:rPr>
        <w:t>csak</w:t>
      </w:r>
      <w:r>
        <w:rPr>
          <w:spacing w:val="12"/>
        </w:rPr>
        <w:t> </w:t>
      </w:r>
      <w:r>
        <w:rPr>
          <w:spacing w:val="-1"/>
        </w:rPr>
        <w:t>ovalis</w:t>
      </w:r>
      <w:r>
        <w:rPr>
          <w:spacing w:val="12"/>
        </w:rPr>
        <w:t> </w:t>
      </w:r>
      <w:r>
        <w:rPr>
          <w:spacing w:val="-1"/>
        </w:rPr>
        <w:t>alakú,</w:t>
      </w:r>
      <w:r>
        <w:rPr>
          <w:spacing w:val="11"/>
        </w:rPr>
        <w:t> </w:t>
      </w:r>
      <w:r>
        <w:rPr/>
        <w:t>tágult</w:t>
      </w:r>
      <w:r>
        <w:rPr>
          <w:spacing w:val="9"/>
        </w:rPr>
        <w:t> </w:t>
      </w:r>
      <w:r>
        <w:rPr>
          <w:spacing w:val="-1"/>
        </w:rPr>
        <w:t>képletként</w:t>
      </w:r>
      <w:r>
        <w:rPr>
          <w:spacing w:val="12"/>
        </w:rPr>
        <w:t> </w:t>
      </w:r>
      <w:r>
        <w:rPr>
          <w:spacing w:val="-1"/>
        </w:rPr>
        <w:t>ábrázolódik;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kéreg-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és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velőállomány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elkülöníthető.</w:t>
      </w:r>
      <w:r>
        <w:rPr>
          <w:rFonts w:ascii="Times New Roman" w:hAnsi="Times New Roman"/>
          <w:spacing w:val="121"/>
        </w:rPr>
        <w:t> </w:t>
      </w:r>
      <w:r>
        <w:rPr>
          <w:spacing w:val="-1"/>
        </w:rPr>
        <w:t>Legnagyobb</w:t>
      </w:r>
      <w:r>
        <w:rPr>
          <w:spacing w:val="23"/>
        </w:rPr>
        <w:t> </w:t>
      </w:r>
      <w:r>
        <w:rPr>
          <w:spacing w:val="-1"/>
        </w:rPr>
        <w:t>kiterjedése</w:t>
      </w:r>
      <w:r>
        <w:rPr>
          <w:spacing w:val="25"/>
        </w:rPr>
        <w:t> </w:t>
      </w:r>
      <w:r>
        <w:rPr>
          <w:spacing w:val="-1"/>
        </w:rPr>
        <w:t>körülbelül</w:t>
      </w:r>
      <w:r>
        <w:rPr>
          <w:spacing w:val="24"/>
        </w:rPr>
        <w:t> </w:t>
      </w:r>
      <w:r>
        <w:rPr/>
        <w:t>55</w:t>
      </w:r>
      <w:r>
        <w:rPr>
          <w:spacing w:val="23"/>
        </w:rPr>
        <w:t> </w:t>
      </w:r>
      <w:r>
        <w:rPr/>
        <w:t>x</w:t>
      </w:r>
      <w:r>
        <w:rPr>
          <w:spacing w:val="23"/>
        </w:rPr>
        <w:t> </w:t>
      </w:r>
      <w:r>
        <w:rPr/>
        <w:t>38</w:t>
      </w:r>
      <w:r>
        <w:rPr>
          <w:spacing w:val="23"/>
        </w:rPr>
        <w:t> </w:t>
      </w:r>
      <w:r>
        <w:rPr/>
        <w:t>mm.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bal</w:t>
      </w:r>
      <w:r>
        <w:rPr>
          <w:spacing w:val="24"/>
        </w:rPr>
        <w:t> </w:t>
      </w:r>
      <w:r>
        <w:rPr>
          <w:spacing w:val="-1"/>
        </w:rPr>
        <w:t>vese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szekvencián</w:t>
      </w:r>
      <w:r>
        <w:rPr>
          <w:spacing w:val="23"/>
        </w:rPr>
        <w:t> </w:t>
      </w:r>
      <w:r>
        <w:rPr>
          <w:spacing w:val="-1"/>
        </w:rPr>
        <w:t>nem</w:t>
      </w:r>
      <w:r>
        <w:rPr>
          <w:spacing w:val="24"/>
        </w:rPr>
        <w:t> </w:t>
      </w:r>
      <w:r>
        <w:rPr>
          <w:spacing w:val="-1"/>
        </w:rPr>
        <w:t>ábrázolódik</w:t>
      </w:r>
      <w:r>
        <w:rPr>
          <w:spacing w:val="83"/>
        </w:rPr>
        <w:t> </w:t>
      </w:r>
      <w:r>
        <w:rPr/>
        <w:t>teljes </w:t>
      </w:r>
      <w:r>
        <w:rPr>
          <w:spacing w:val="-1"/>
        </w:rPr>
        <w:t>egészében.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58" w:right="0"/>
        <w:jc w:val="left"/>
      </w:pPr>
      <w:r>
        <w:rPr>
          <w:spacing w:val="-1"/>
        </w:rPr>
        <w:t>Összegzés: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8" w:right="115" w:hanging="360"/>
        <w:jc w:val="both"/>
      </w:pPr>
      <w:r>
        <w:rPr>
          <w:spacing w:val="-1"/>
        </w:rPr>
        <w:t>Th8-</w:t>
      </w:r>
      <w:r>
        <w:rPr>
          <w:rFonts w:ascii="Times New Roman" w:hAnsi="Times New Roman"/>
          <w:spacing w:val="-1"/>
        </w:rPr>
        <w:t>Th9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szakaszon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nagy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valószínűséggel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intraduralis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térfoglaló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képlet;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súlyos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myelonkompresszió;</w:t>
      </w:r>
      <w:r>
        <w:rPr/>
        <w:t> </w:t>
      </w:r>
      <w:r>
        <w:rPr>
          <w:spacing w:val="-1"/>
        </w:rPr>
        <w:t>intramedullaris</w:t>
      </w:r>
      <w:r>
        <w:rPr/>
        <w:t> T2</w:t>
      </w:r>
      <w:r>
        <w:rPr>
          <w:spacing w:val="2"/>
        </w:rPr>
        <w:t> </w:t>
      </w:r>
      <w:r>
        <w:rPr>
          <w:spacing w:val="-1"/>
        </w:rPr>
        <w:t>hyperintenzitás,</w:t>
      </w:r>
      <w:r>
        <w:rPr/>
        <w:t> </w:t>
      </w:r>
      <w:r>
        <w:rPr>
          <w:spacing w:val="-1"/>
        </w:rPr>
        <w:t>kontraszhalmozás.</w:t>
      </w:r>
      <w:r>
        <w:rPr>
          <w:spacing w:val="3"/>
        </w:rPr>
        <w:t> </w:t>
      </w:r>
      <w:r>
        <w:rPr>
          <w:spacing w:val="-1"/>
        </w:rPr>
        <w:t>Neoplasticus</w:t>
      </w:r>
      <w:r>
        <w:rPr>
          <w:spacing w:val="135"/>
        </w:rPr>
        <w:t> </w:t>
      </w:r>
      <w:r>
        <w:rPr>
          <w:spacing w:val="-1"/>
        </w:rPr>
        <w:t>eredet,</w:t>
      </w:r>
      <w:r>
        <w:rPr>
          <w:spacing w:val="7"/>
        </w:rPr>
        <w:t> </w:t>
      </w:r>
      <w:r>
        <w:rPr/>
        <w:t>mint</w:t>
      </w:r>
      <w:r>
        <w:rPr>
          <w:spacing w:val="7"/>
        </w:rPr>
        <w:t> </w:t>
      </w:r>
      <w:r>
        <w:rPr>
          <w:spacing w:val="-1"/>
        </w:rPr>
        <w:t>például</w:t>
      </w:r>
      <w:r>
        <w:rPr>
          <w:spacing w:val="10"/>
        </w:rPr>
        <w:t> </w:t>
      </w:r>
      <w:r>
        <w:rPr>
          <w:spacing w:val="-1"/>
        </w:rPr>
        <w:t>meningioma,</w:t>
      </w:r>
      <w:r>
        <w:rPr>
          <w:spacing w:val="7"/>
        </w:rPr>
        <w:t> </w:t>
      </w:r>
      <w:r>
        <w:rPr>
          <w:rFonts w:ascii="Times New Roman" w:hAnsi="Times New Roman"/>
        </w:rPr>
        <w:t>igen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valószínű,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intramedull</w:t>
      </w:r>
      <w:r>
        <w:rPr>
          <w:spacing w:val="-1"/>
        </w:rPr>
        <w:t>aris</w:t>
      </w:r>
      <w:r>
        <w:rPr>
          <w:spacing w:val="9"/>
        </w:rPr>
        <w:t> </w:t>
      </w:r>
      <w:r>
        <w:rPr>
          <w:spacing w:val="-1"/>
        </w:rPr>
        <w:t>érintettséggel;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összességében</w:t>
      </w:r>
      <w:r>
        <w:rPr>
          <w:rFonts w:ascii="Times New Roman" w:hAnsi="Times New Roman"/>
        </w:rPr>
        <w:t> lymphoma </w:t>
      </w:r>
      <w:r>
        <w:rPr>
          <w:rFonts w:ascii="Times New Roman" w:hAnsi="Times New Roman"/>
          <w:spacing w:val="-1"/>
        </w:rPr>
        <w:t>felmerül.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Gyulladásos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eredet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valószínűsége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lényegesen</w:t>
      </w:r>
      <w:r>
        <w:rPr>
          <w:rFonts w:ascii="Times New Roman" w:hAnsi="Times New Roman"/>
        </w:rPr>
        <w:t> kisebb.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Definitív</w:t>
      </w:r>
      <w:r>
        <w:rPr/>
        <w:t> </w:t>
      </w:r>
      <w:r>
        <w:rPr>
          <w:spacing w:val="-1"/>
        </w:rPr>
        <w:t>diagnózis</w:t>
      </w:r>
      <w:r>
        <w:rPr/>
        <w:t> </w:t>
      </w:r>
      <w:r>
        <w:rPr>
          <w:spacing w:val="-1"/>
        </w:rPr>
        <w:t>szövettani</w:t>
      </w:r>
      <w:r>
        <w:rPr/>
        <w:t> </w:t>
      </w:r>
      <w:r>
        <w:rPr>
          <w:spacing w:val="-1"/>
        </w:rPr>
        <w:t>mintavétellel</w:t>
      </w:r>
      <w:r>
        <w:rPr/>
        <w:t> </w:t>
      </w:r>
      <w:r>
        <w:rPr>
          <w:spacing w:val="-1"/>
        </w:rPr>
        <w:t>adható.</w:t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8" w:right="0" w:hanging="360"/>
        <w:jc w:val="left"/>
      </w:pPr>
      <w:r>
        <w:rPr>
          <w:spacing w:val="-1"/>
        </w:rPr>
        <w:t>C2-C5</w:t>
      </w:r>
      <w:r>
        <w:rPr/>
        <w:t> </w:t>
      </w:r>
      <w:r>
        <w:rPr>
          <w:spacing w:val="-1"/>
        </w:rPr>
        <w:t>liquortér-kompresszió.</w:t>
      </w:r>
    </w:p>
    <w:p>
      <w:pPr>
        <w:spacing w:after="0" w:line="240" w:lineRule="auto"/>
        <w:jc w:val="left"/>
        <w:sectPr>
          <w:type w:val="continuous"/>
          <w:pgSz w:w="11910" w:h="16840"/>
          <w:pgMar w:top="1360" w:bottom="28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line="240" w:lineRule="auto" w:before="56" w:after="0"/>
        <w:ind w:left="618" w:right="120" w:hanging="360"/>
        <w:jc w:val="left"/>
      </w:pPr>
      <w:r>
        <w:rPr/>
        <w:t>Jobb</w:t>
      </w:r>
      <w:r>
        <w:rPr>
          <w:spacing w:val="43"/>
        </w:rPr>
        <w:t> </w:t>
      </w:r>
      <w:r>
        <w:rPr>
          <w:spacing w:val="-1"/>
        </w:rPr>
        <w:t>vesedysplasia</w:t>
      </w:r>
      <w:r>
        <w:rPr>
          <w:spacing w:val="44"/>
        </w:rPr>
        <w:t> </w:t>
      </w:r>
      <w:r>
        <w:rPr/>
        <w:t>/</w:t>
      </w:r>
      <w:r>
        <w:rPr>
          <w:spacing w:val="43"/>
        </w:rPr>
        <w:t> </w:t>
      </w:r>
      <w:r>
        <w:rPr>
          <w:spacing w:val="-1"/>
        </w:rPr>
        <w:t>térfoglalás</w:t>
      </w:r>
      <w:r>
        <w:rPr>
          <w:spacing w:val="42"/>
        </w:rPr>
        <w:t> </w:t>
      </w:r>
      <w:r>
        <w:rPr>
          <w:spacing w:val="-1"/>
        </w:rPr>
        <w:t>felmerül.</w:t>
      </w:r>
      <w:r>
        <w:rPr>
          <w:spacing w:val="42"/>
        </w:rPr>
        <w:t> </w:t>
      </w:r>
      <w:r>
        <w:rPr/>
        <w:t>Definitív</w:t>
      </w:r>
      <w:r>
        <w:rPr>
          <w:spacing w:val="42"/>
        </w:rPr>
        <w:t> </w:t>
      </w:r>
      <w:r>
        <w:rPr>
          <w:spacing w:val="-1"/>
        </w:rPr>
        <w:t>diagnózis</w:t>
      </w:r>
      <w:r>
        <w:rPr>
          <w:spacing w:val="43"/>
        </w:rPr>
        <w:t> </w:t>
      </w:r>
      <w:r>
        <w:rPr>
          <w:spacing w:val="-1"/>
        </w:rPr>
        <w:t>szövettani</w:t>
      </w:r>
      <w:r>
        <w:rPr>
          <w:spacing w:val="45"/>
        </w:rPr>
        <w:t> </w:t>
      </w:r>
      <w:r>
        <w:rPr>
          <w:spacing w:val="-1"/>
        </w:rPr>
        <w:t>mintavétellel</w:t>
      </w:r>
      <w:r>
        <w:rPr>
          <w:spacing w:val="109"/>
        </w:rPr>
        <w:t> </w:t>
      </w:r>
      <w:r>
        <w:rPr>
          <w:spacing w:val="-1"/>
        </w:rPr>
        <w:t>adható.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58" w:right="0"/>
        <w:jc w:val="left"/>
      </w:pPr>
      <w:r>
        <w:rPr>
          <w:spacing w:val="-1"/>
        </w:rPr>
        <w:t>Budapest,</w:t>
      </w:r>
      <w:r>
        <w:rPr/>
        <w:t> 2022. augusztus 10.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3347" w:right="0" w:firstLine="314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***************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08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084D1"/>
          <w:spacing w:val="-5"/>
          <w:sz w:val="20"/>
        </w:rPr>
        <w:t>Vetscan</w:t>
      </w:r>
      <w:r>
        <w:rPr>
          <w:rFonts w:ascii="Times New Roman" w:hAnsi="Times New Roman"/>
          <w:color w:val="0084D1"/>
          <w:spacing w:val="-9"/>
          <w:sz w:val="20"/>
        </w:rPr>
        <w:t> </w:t>
      </w:r>
      <w:r>
        <w:rPr>
          <w:rFonts w:ascii="Times New Roman" w:hAnsi="Times New Roman"/>
          <w:color w:val="0084D1"/>
          <w:sz w:val="20"/>
        </w:rPr>
        <w:t>Képalkotó</w:t>
      </w:r>
      <w:r>
        <w:rPr>
          <w:rFonts w:ascii="Times New Roman" w:hAnsi="Times New Roman"/>
          <w:color w:val="0084D1"/>
          <w:spacing w:val="-8"/>
          <w:sz w:val="20"/>
        </w:rPr>
        <w:t> </w:t>
      </w:r>
      <w:r>
        <w:rPr>
          <w:rFonts w:ascii="Times New Roman" w:hAnsi="Times New Roman"/>
          <w:color w:val="0084D1"/>
          <w:sz w:val="20"/>
        </w:rPr>
        <w:t>Diagnosztika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84312" cy="332574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312" cy="332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2022-08-11T16:32:06Z</dcterms:created>
  <dcterms:modified xsi:type="dcterms:W3CDTF">2022-08-11T16:32:06Z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2022-08-11T00:00:00Z</vt:filetime>
  </property>
</Properties>
</file>